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t>AVISO DE DISPENSA ELETRÔNICA Nº 002/2025</w:t>
      </w:r>
    </w:p>
    <w:p>
      <w:pPr>
        <w:pStyle w:val="Normal"/>
        <w:spacing w:lineRule="auto" w:line="276" w:before="0" w:after="120"/>
        <w:jc w:val="center"/>
        <w:rPr>
          <w:rFonts w:ascii="Verdana" w:hAnsi="Verdana" w:cs="Arial"/>
          <w:b/>
          <w:bCs/>
          <w:szCs w:val="20"/>
        </w:rPr>
      </w:pPr>
      <w:r>
        <w:rPr>
          <w:rFonts w:cs="Arial" w:ascii="Verdana" w:hAnsi="Verdana"/>
          <w:b/>
          <w:bCs/>
          <w:szCs w:val="20"/>
        </w:rPr>
        <w:t>(Processo Administrativo n.º 001631/2025 de 27/02/2025)</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before="0" w:after="120"/>
        <w:ind w:firstLine="540" w:right="-30"/>
        <w:jc w:val="both"/>
        <w:rPr>
          <w:rFonts w:ascii="Verdana" w:hAnsi="Verdana"/>
          <w:szCs w:val="20"/>
        </w:rPr>
      </w:pPr>
      <w:r>
        <w:rPr>
          <w:rFonts w:cs="Arial" w:ascii="Verdana" w:hAnsi="Verdana"/>
          <w:szCs w:val="20"/>
        </w:rPr>
        <w:t>Torna-se público que o(a)</w:t>
      </w:r>
      <w:r>
        <w:rPr>
          <w:rFonts w:eastAsia="Arial" w:cs="Arial" w:ascii="Verdana" w:hAnsi="Verdana"/>
          <w:szCs w:val="20"/>
        </w:rPr>
        <w:t xml:space="preserve"> a Prefeitura Municipal de São Gabriel da Palha-ES</w:t>
      </w:r>
      <w:r>
        <w:rPr>
          <w:rFonts w:cs="Arial" w:ascii="Verdana" w:hAnsi="Verdana"/>
          <w:szCs w:val="20"/>
        </w:rPr>
        <w:t xml:space="preserve">, por meio da Secretaria Municipal de Educação, 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unitário,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 xml:space="preserve">Data da sessão: </w:t>
      </w:r>
      <w:r>
        <w:rPr>
          <w:rFonts w:cs="Arial" w:ascii="Verdana" w:hAnsi="Verdana"/>
          <w:b/>
          <w:bCs/>
          <w:szCs w:val="20"/>
        </w:rPr>
        <w:t>04/06</w:t>
      </w:r>
      <w:r>
        <w:rPr>
          <w:rFonts w:cs="Arial" w:ascii="Verdana" w:hAnsi="Verdana"/>
          <w:b/>
          <w:bCs/>
          <w:szCs w:val="20"/>
        </w:rPr>
        <w:t>/202</w:t>
      </w:r>
      <w:r>
        <w:rPr>
          <w:rFonts w:cs="Arial" w:ascii="Verdana" w:hAnsi="Verdana"/>
          <w:b/>
          <w:bCs/>
          <w:szCs w:val="20"/>
        </w:rPr>
        <w:t>5</w:t>
      </w:r>
      <w:r>
        <w:rPr>
          <w:rFonts w:cs="Arial" w:ascii="Verdana" w:hAnsi="Verdana"/>
          <w:b/>
          <w:bCs/>
          <w:szCs w:val="20"/>
        </w:rPr>
        <w:t>.</w:t>
      </w:r>
    </w:p>
    <w:p>
      <w:pPr>
        <w:pStyle w:val="Normal"/>
        <w:spacing w:lineRule="auto" w:line="276"/>
        <w:rPr>
          <w:rFonts w:ascii="Verdana" w:hAnsi="Verdana" w:cs="Arial"/>
          <w:b/>
          <w:bCs/>
          <w:szCs w:val="20"/>
        </w:rPr>
      </w:pPr>
      <w:r>
        <w:rPr>
          <w:rFonts w:cs="Arial" w:ascii="Verdana" w:hAnsi="Verdana"/>
          <w:b/>
          <w:bCs/>
          <w:szCs w:val="20"/>
        </w:rPr>
        <w:t xml:space="preserve">Link: </w:t>
      </w:r>
      <w:hyperlink r:id="rId2">
        <w:r>
          <w:rPr>
            <w:rStyle w:val="Hyperlink"/>
            <w:rFonts w:ascii="Verdana" w:hAnsi="Verdana"/>
            <w:b/>
            <w:bCs/>
            <w:color w:val="auto"/>
            <w:szCs w:val="20"/>
          </w:rPr>
          <w:t>www.portaldecompraspublicas.com.br</w:t>
        </w:r>
      </w:hyperlink>
    </w:p>
    <w:p>
      <w:pPr>
        <w:pStyle w:val="Normal"/>
        <w:spacing w:lineRule="auto" w:line="276"/>
        <w:rPr>
          <w:rFonts w:ascii="Verdana" w:hAnsi="Verdana" w:cs="Arial"/>
          <w:b/>
          <w:bCs/>
          <w:szCs w:val="20"/>
        </w:rPr>
      </w:pPr>
      <w:r>
        <w:rPr>
          <w:rFonts w:cs="Arial" w:ascii="Verdana" w:hAnsi="Verdana"/>
          <w:b/>
          <w:bCs/>
          <w:szCs w:val="20"/>
        </w:rPr>
        <w:t xml:space="preserve">Horário da Fase de Lances: </w:t>
      </w:r>
      <w:r>
        <w:rPr>
          <w:rFonts w:cs="Arial" w:ascii="Verdana" w:hAnsi="Verdana"/>
          <w:b/>
          <w:bCs/>
          <w:szCs w:val="20"/>
        </w:rPr>
        <w:t>08</w:t>
      </w:r>
      <w:r>
        <w:rPr>
          <w:rFonts w:cs="Arial" w:ascii="Verdana" w:hAnsi="Verdana"/>
          <w:b/>
          <w:bCs/>
          <w:szCs w:val="20"/>
        </w:rPr>
        <w:t>h</w:t>
      </w:r>
      <w:r>
        <w:rPr>
          <w:rFonts w:cs="Arial" w:ascii="Verdana" w:hAnsi="Verdana"/>
          <w:b/>
          <w:bCs/>
          <w:szCs w:val="20"/>
        </w:rPr>
        <w:t>00</w:t>
      </w:r>
      <w:r>
        <w:rPr>
          <w:rFonts w:cs="Arial" w:ascii="Verdana" w:hAnsi="Verdana"/>
          <w:b/>
          <w:bCs/>
          <w:szCs w:val="20"/>
        </w:rPr>
        <w:t xml:space="preserve">min as </w:t>
      </w:r>
      <w:r>
        <w:rPr>
          <w:rFonts w:cs="Arial" w:ascii="Verdana" w:hAnsi="Verdana"/>
          <w:b/>
          <w:bCs/>
          <w:szCs w:val="20"/>
        </w:rPr>
        <w:t>14</w:t>
      </w:r>
      <w:r>
        <w:rPr>
          <w:rFonts w:cs="Arial" w:ascii="Verdana" w:hAnsi="Verdana"/>
          <w:b/>
          <w:bCs/>
          <w:szCs w:val="20"/>
        </w:rPr>
        <w:t>h</w:t>
      </w:r>
      <w:r>
        <w:rPr>
          <w:rFonts w:cs="Arial" w:ascii="Verdana" w:hAnsi="Verdana"/>
          <w:b/>
          <w:bCs/>
          <w:szCs w:val="20"/>
        </w:rPr>
        <w:t>00</w:t>
      </w:r>
      <w:r>
        <w:rPr>
          <w:rFonts w:cs="Arial" w:ascii="Verdana" w:hAnsi="Verdana"/>
          <w:b/>
          <w:bCs/>
          <w:szCs w:val="20"/>
        </w:rPr>
        <w:t>min.</w:t>
      </w:r>
    </w:p>
    <w:p>
      <w:pPr>
        <w:pStyle w:val="Normal"/>
        <w:spacing w:lineRule="auto" w:line="276"/>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OBJETO DA CONTRATAÇÃO DIRETA</w:t>
      </w:r>
    </w:p>
    <w:p>
      <w:pPr>
        <w:pStyle w:val="PADRO"/>
        <w:keepNext w:val="false"/>
        <w:widowControl/>
        <w:numPr>
          <w:ilvl w:val="1"/>
          <w:numId w:val="1"/>
        </w:numPr>
        <w:shd w:val="clear" w:color="auto" w:fill="auto"/>
        <w:tabs>
          <w:tab w:val="clear" w:pos="708"/>
          <w:tab w:val="left" w:pos="284" w:leader="none"/>
          <w:tab w:val="left" w:pos="426" w:leader="none"/>
        </w:tabs>
        <w:spacing w:before="120" w:after="120"/>
        <w:ind w:hanging="0" w:left="0"/>
        <w:rPr>
          <w:rFonts w:ascii="Verdana" w:hAnsi="Verdana" w:cs="Arial"/>
          <w:szCs w:val="20"/>
        </w:rPr>
      </w:pPr>
      <w:r>
        <w:rPr>
          <w:rFonts w:cs="Arial" w:ascii="Verdana" w:hAnsi="Verdana"/>
          <w:szCs w:val="20"/>
        </w:rPr>
        <w:t xml:space="preserve">O objeto da presente dispensa é a escolha da proposta mais vantajosa para </w:t>
      </w:r>
      <w:bookmarkStart w:id="0" w:name="_Hlk172041147"/>
      <w:bookmarkStart w:id="1" w:name="_Hlk158284997"/>
      <w:r>
        <w:rPr>
          <w:rFonts w:cs="Arial" w:ascii="Verdana" w:hAnsi="Verdana"/>
          <w:szCs w:val="20"/>
        </w:rPr>
        <w:t xml:space="preserve">a </w:t>
      </w:r>
      <w:bookmarkStart w:id="2" w:name="_Hlk158282862"/>
      <w:bookmarkStart w:id="3" w:name="__DdeLink__855_1388181997"/>
      <w:bookmarkEnd w:id="0"/>
      <w:bookmarkEnd w:id="1"/>
      <w:r>
        <w:rPr>
          <w:rFonts w:eastAsia="Arial" w:cs="Arial" w:ascii="Verdana" w:hAnsi="Verdana"/>
          <w:szCs w:val="20"/>
        </w:rPr>
        <w:t xml:space="preserve">Contratação de empresa especializada na prestação de serviços SMP (Serviço Móvel Pessoal), </w:t>
      </w:r>
      <w:r>
        <w:rPr>
          <w:rFonts w:eastAsia="Arial" w:cs="Arial" w:ascii="Verdana" w:hAnsi="Verdana"/>
          <w:color w:val="000000"/>
          <w:szCs w:val="20"/>
        </w:rPr>
        <w:t>que possua outorga da Agência Nacional de Telecomunicações (ANATEL), com acessos para comunicação de voz e dados, com tecnologia 3G/4G, na modalidade pós-pago, via rede móvel disponível nacionalmente, com tecnologia digital, para atender às demandas da Prefeitura Municipal de São Gabriel da Palha - ES</w:t>
      </w:r>
      <w:bookmarkEnd w:id="3"/>
      <w:r>
        <w:rPr>
          <w:rFonts w:cs="Verdana" w:ascii="Verdana" w:hAnsi="Verdana"/>
          <w:szCs w:val="20"/>
        </w:rPr>
        <w:t>,</w:t>
      </w:r>
      <w:r>
        <w:rPr>
          <w:rFonts w:cs="Arial" w:ascii="Verdana" w:hAnsi="Verdana"/>
          <w:szCs w:val="20"/>
        </w:rPr>
        <w:t xml:space="preserve"> conforme condições, quantidades e exigências estabelecidas neste Aviso de Contratação Direta e seus anexos.</w:t>
      </w:r>
      <w:bookmarkEnd w:id="2"/>
    </w:p>
    <w:tbl>
      <w:tblPr>
        <w:tblW w:w="9626"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876"/>
        <w:gridCol w:w="6972"/>
        <w:gridCol w:w="755"/>
        <w:gridCol w:w="1022"/>
      </w:tblGrid>
      <w:tr>
        <w:trPr/>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ascii="Verdana" w:hAnsi="Verdana"/>
                <w:b/>
                <w:bCs/>
                <w:szCs w:val="20"/>
              </w:rPr>
              <w:t>ITEM</w:t>
            </w:r>
          </w:p>
          <w:p>
            <w:pPr>
              <w:pStyle w:val="Normal"/>
              <w:widowControl w:val="false"/>
              <w:spacing w:lineRule="auto" w:line="276"/>
              <w:jc w:val="center"/>
              <w:rPr>
                <w:rFonts w:ascii="Verdana" w:hAnsi="Verdana"/>
                <w:b/>
                <w:bCs/>
                <w:szCs w:val="20"/>
              </w:rPr>
            </w:pPr>
            <w:r>
              <w:rPr>
                <w:rFonts w:ascii="Verdana" w:hAnsi="Verdana"/>
                <w:b/>
                <w:bCs/>
                <w:szCs w:val="20"/>
              </w:rPr>
            </w:r>
          </w:p>
        </w:tc>
        <w:tc>
          <w:tcPr>
            <w:tcW w:w="69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Cs w:val="20"/>
              </w:rPr>
            </w:pPr>
            <w:r>
              <w:rPr>
                <w:rFonts w:ascii="Verdana" w:hAnsi="Verdana"/>
                <w:b/>
                <w:bCs/>
                <w:szCs w:val="20"/>
              </w:rPr>
              <w:t>ESPECIFICAÇÃO</w:t>
            </w:r>
          </w:p>
        </w:tc>
        <w:tc>
          <w:tcPr>
            <w:tcW w:w="7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ascii="Verdana" w:hAnsi="Verdana"/>
                <w:b/>
                <w:bCs/>
                <w:szCs w:val="20"/>
              </w:rPr>
              <w:t>UND</w:t>
            </w:r>
          </w:p>
        </w:tc>
        <w:tc>
          <w:tcPr>
            <w:tcW w:w="10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cs="Times New Roman" w:ascii="Verdana" w:hAnsi="Verdana"/>
                <w:b/>
                <w:bCs/>
                <w:szCs w:val="20"/>
              </w:rPr>
              <w:t>QUANT</w:t>
            </w:r>
          </w:p>
        </w:tc>
      </w:tr>
      <w:tr>
        <w:trPr/>
        <w:tc>
          <w:tcPr>
            <w:tcW w:w="8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ascii="Verdana" w:hAnsi="Verdana"/>
                <w:szCs w:val="20"/>
              </w:rPr>
              <w:t>01</w:t>
            </w:r>
          </w:p>
          <w:p>
            <w:pPr>
              <w:pStyle w:val="Normal"/>
              <w:widowControl w:val="false"/>
              <w:spacing w:lineRule="auto" w:line="276"/>
              <w:jc w:val="both"/>
              <w:rPr>
                <w:rFonts w:ascii="Verdana" w:hAnsi="Verdana"/>
                <w:szCs w:val="20"/>
              </w:rPr>
            </w:pPr>
            <w:r>
              <w:rPr>
                <w:rFonts w:ascii="Verdana" w:hAnsi="Verdana"/>
                <w:szCs w:val="20"/>
              </w:rPr>
            </w:r>
          </w:p>
        </w:tc>
        <w:tc>
          <w:tcPr>
            <w:tcW w:w="6972"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8"/>
                <w:tab w:val="left" w:pos="3390" w:leader="none"/>
                <w:tab w:val="center" w:pos="5032" w:leader="none"/>
              </w:tabs>
              <w:spacing w:lineRule="auto" w:line="276"/>
              <w:ind w:left="0"/>
              <w:jc w:val="both"/>
              <w:rPr>
                <w:rFonts w:ascii="Verdana" w:hAnsi="Verdana"/>
                <w:szCs w:val="20"/>
              </w:rPr>
            </w:pPr>
            <w:r>
              <w:rPr>
                <w:rFonts w:eastAsia="Arial" w:cs="Arial" w:ascii="Verdana" w:hAnsi="Verdana"/>
                <w:color w:val="000000"/>
                <w:szCs w:val="20"/>
              </w:rPr>
              <w:t>CONTRATAÇÃO DE EMPRESA para prestação de serviços smp (serviço móvel pessoal), que possua outorga da agência nacional de telecomunicações (ANATEL), com acessos para comunicação de voz e dados, com tecnologia 3g/4g ou superior, na modalidade pós-pago, via rede móvel disponível nacionalmente, com tecnologia digital, para atender às demandas da</w:t>
            </w:r>
          </w:p>
          <w:p>
            <w:pPr>
              <w:pStyle w:val="ListParagraph"/>
              <w:widowControl w:val="false"/>
              <w:tabs>
                <w:tab w:val="clear" w:pos="708"/>
                <w:tab w:val="left" w:pos="3390" w:leader="none"/>
                <w:tab w:val="center" w:pos="5032" w:leader="none"/>
              </w:tabs>
              <w:spacing w:lineRule="auto" w:line="276"/>
              <w:ind w:left="0"/>
              <w:jc w:val="both"/>
              <w:rPr>
                <w:rFonts w:ascii="Verdana" w:hAnsi="Verdana"/>
                <w:szCs w:val="20"/>
              </w:rPr>
            </w:pPr>
            <w:r>
              <w:rPr>
                <w:rFonts w:eastAsia="Arial" w:cs="Arial" w:ascii="Verdana" w:hAnsi="Verdana"/>
                <w:color w:val="000000"/>
                <w:szCs w:val="20"/>
              </w:rPr>
              <w:t>Prefeitura Municipal De São Gabriel Da Palha -  ES</w:t>
            </w:r>
          </w:p>
          <w:p>
            <w:pPr>
              <w:pStyle w:val="ListParagraph"/>
              <w:widowControl w:val="false"/>
              <w:tabs>
                <w:tab w:val="clear" w:pos="708"/>
                <w:tab w:val="left" w:pos="3390" w:leader="none"/>
                <w:tab w:val="center" w:pos="5032" w:leader="none"/>
              </w:tabs>
              <w:spacing w:lineRule="auto" w:line="276"/>
              <w:ind w:left="0"/>
              <w:jc w:val="both"/>
              <w:rPr>
                <w:rFonts w:ascii="Verdana" w:hAnsi="Verdana" w:eastAsia="Arial" w:cs="Arial"/>
                <w:color w:val="000000"/>
                <w:szCs w:val="20"/>
              </w:rPr>
            </w:pPr>
            <w:r>
              <w:rPr>
                <w:rFonts w:eastAsia="Arial" w:cs="Arial" w:ascii="Verdana" w:hAnsi="Verdana"/>
                <w:color w:val="000000"/>
                <w:szCs w:val="20"/>
              </w:rPr>
            </w:r>
          </w:p>
          <w:p>
            <w:pPr>
              <w:pStyle w:val="ListParagraph"/>
              <w:widowControl w:val="false"/>
              <w:tabs>
                <w:tab w:val="clear" w:pos="708"/>
                <w:tab w:val="left" w:pos="3390" w:leader="none"/>
                <w:tab w:val="center" w:pos="5032" w:leader="none"/>
              </w:tabs>
              <w:spacing w:lineRule="auto" w:line="276"/>
              <w:ind w:left="0"/>
              <w:jc w:val="both"/>
              <w:rPr>
                <w:rFonts w:ascii="Verdana" w:hAnsi="Verdana"/>
                <w:szCs w:val="20"/>
              </w:rPr>
            </w:pPr>
            <w:r>
              <w:rPr>
                <w:rFonts w:eastAsia="Arial" w:cs="Arial" w:ascii="Verdana" w:hAnsi="Verdana"/>
                <w:color w:val="000000"/>
                <w:szCs w:val="20"/>
              </w:rPr>
              <w:t xml:space="preserve">pacote de 40.000 (quarenta mil) minutos </w:t>
            </w:r>
          </w:p>
          <w:p>
            <w:pPr>
              <w:pStyle w:val="ListParagraph"/>
              <w:widowControl w:val="false"/>
              <w:tabs>
                <w:tab w:val="clear" w:pos="708"/>
                <w:tab w:val="left" w:pos="3390" w:leader="none"/>
                <w:tab w:val="center" w:pos="5032" w:leader="none"/>
              </w:tabs>
              <w:spacing w:lineRule="auto" w:line="276"/>
              <w:ind w:left="0"/>
              <w:jc w:val="both"/>
              <w:rPr>
                <w:rFonts w:ascii="Verdana" w:hAnsi="Verdana"/>
                <w:szCs w:val="20"/>
              </w:rPr>
            </w:pPr>
            <w:r>
              <w:rPr>
                <w:rFonts w:eastAsia="Arial" w:cs="Arial" w:ascii="Verdana" w:hAnsi="Verdana"/>
                <w:color w:val="000000"/>
                <w:szCs w:val="20"/>
              </w:rPr>
              <w:t>individuais em ligações vc1, vc2 e vc3 para móvel on, off net e fixos para qualquer operadora; pacote 1.000 sms para móvel on, off net; pacote 5 gb ou superior de internet com redução de velocidade para 128kbps após atingimento da franquia sem cobrança de valores excedentes e; serviço de gestão de linhas via web ou e-mail</w:t>
            </w:r>
          </w:p>
          <w:p>
            <w:pPr>
              <w:pStyle w:val="ListParagraph"/>
              <w:widowControl w:val="false"/>
              <w:tabs>
                <w:tab w:val="clear" w:pos="708"/>
                <w:tab w:val="left" w:pos="3390" w:leader="none"/>
                <w:tab w:val="center" w:pos="5032" w:leader="none"/>
              </w:tabs>
              <w:spacing w:lineRule="auto" w:line="276"/>
              <w:ind w:left="0"/>
              <w:jc w:val="both"/>
              <w:rPr>
                <w:rFonts w:ascii="Verdana" w:hAnsi="Verdana"/>
                <w:szCs w:val="20"/>
              </w:rPr>
            </w:pPr>
            <w:r>
              <w:rPr>
                <w:rFonts w:eastAsia="Arial" w:cs="Arial" w:ascii="Verdana" w:hAnsi="Verdana"/>
                <w:color w:val="000000"/>
                <w:szCs w:val="20"/>
              </w:rPr>
              <w:t>(ativação, controle e bloqueios)</w:t>
            </w:r>
          </w:p>
          <w:p>
            <w:pPr>
              <w:pStyle w:val="ListParagraph"/>
              <w:widowControl w:val="false"/>
              <w:tabs>
                <w:tab w:val="clear" w:pos="708"/>
                <w:tab w:val="left" w:pos="3390" w:leader="none"/>
                <w:tab w:val="center" w:pos="5032" w:leader="none"/>
              </w:tabs>
              <w:spacing w:lineRule="auto" w:line="276"/>
              <w:ind w:left="0"/>
              <w:jc w:val="both"/>
              <w:rPr>
                <w:rFonts w:ascii="Verdana" w:hAnsi="Verdana"/>
                <w:szCs w:val="20"/>
              </w:rPr>
            </w:pPr>
            <w:r>
              <w:rPr>
                <w:rFonts w:ascii="Verdana" w:hAnsi="Verdana"/>
                <w:szCs w:val="20"/>
              </w:rPr>
            </w:r>
          </w:p>
          <w:p>
            <w:pPr>
              <w:pStyle w:val="ListParagraph"/>
              <w:widowControl w:val="false"/>
              <w:tabs>
                <w:tab w:val="clear" w:pos="708"/>
                <w:tab w:val="left" w:pos="3390" w:leader="none"/>
                <w:tab w:val="center" w:pos="5032" w:leader="none"/>
              </w:tabs>
              <w:spacing w:lineRule="auto" w:line="276"/>
              <w:ind w:left="0"/>
              <w:jc w:val="both"/>
              <w:rPr>
                <w:rFonts w:ascii="Verdana" w:hAnsi="Verdana"/>
                <w:szCs w:val="20"/>
              </w:rPr>
            </w:pPr>
            <w:r>
              <w:rPr>
                <w:rFonts w:eastAsia="Arial" w:cs="Arial" w:ascii="Verdana" w:hAnsi="Verdana"/>
                <w:color w:val="000000"/>
                <w:szCs w:val="20"/>
              </w:rPr>
              <w:t>Quantidade: 80 linhas móveis</w:t>
            </w:r>
          </w:p>
        </w:tc>
        <w:tc>
          <w:tcPr>
            <w:tcW w:w="7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ascii="Verdana" w:hAnsi="Verdana"/>
                <w:szCs w:val="20"/>
              </w:rPr>
              <w:t>Serv</w:t>
            </w:r>
          </w:p>
        </w:tc>
        <w:tc>
          <w:tcPr>
            <w:tcW w:w="10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ascii="Verdana" w:hAnsi="Verdana"/>
                <w:szCs w:val="20"/>
              </w:rPr>
              <w:t>80</w:t>
            </w:r>
          </w:p>
        </w:tc>
      </w:tr>
    </w:tbl>
    <w:p>
      <w:pPr>
        <w:pStyle w:val="PADRO"/>
        <w:keepNext w:val="false"/>
        <w:widowControl/>
        <w:shd w:val="clear" w:color="auto" w:fill="auto"/>
        <w:tabs>
          <w:tab w:val="clear" w:pos="708"/>
          <w:tab w:val="left" w:pos="284" w:leader="none"/>
          <w:tab w:val="left" w:pos="426" w:leader="none"/>
        </w:tabs>
        <w:spacing w:before="0" w:after="0"/>
        <w:ind w:hanging="0"/>
        <w:rPr>
          <w:rFonts w:ascii="Verdana" w:hAnsi="Verdana" w:cs="Arial"/>
          <w:szCs w:val="20"/>
        </w:rPr>
      </w:pPr>
      <w:r>
        <w:rPr>
          <w:rFonts w:cs="Arial" w:ascii="Verdana" w:hAnsi="Verdana"/>
          <w:szCs w:val="20"/>
        </w:rPr>
      </w:r>
    </w:p>
    <w:p>
      <w:pPr>
        <w:pStyle w:val="PADRO"/>
        <w:keepNext w:val="false"/>
        <w:widowControl/>
        <w:numPr>
          <w:ilvl w:val="1"/>
          <w:numId w:val="1"/>
        </w:numPr>
        <w:shd w:val="clear" w:color="auto" w:fill="auto"/>
        <w:spacing w:before="120" w:after="120"/>
        <w:ind w:hanging="0" w:left="0"/>
        <w:rPr>
          <w:rFonts w:ascii="Verdana" w:hAnsi="Verdana" w:cs="Arial"/>
          <w:szCs w:val="20"/>
        </w:rPr>
      </w:pPr>
      <w:r>
        <w:rPr>
          <w:rFonts w:cs="Arial" w:ascii="Verdana" w:hAnsi="Verdana"/>
          <w:szCs w:val="20"/>
        </w:rPr>
        <w:t xml:space="preserve"> </w:t>
      </w: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iCs/>
          <w:szCs w:val="20"/>
        </w:rPr>
        <w:t>menor preço unitário,</w:t>
      </w:r>
      <w:r>
        <w:rPr>
          <w:rFonts w:cs="Arial" w:ascii="Verdana" w:hAnsi="Verdana"/>
          <w:szCs w:val="20"/>
        </w:rPr>
        <w:t xml:space="preserve"> observadas as exigências contidas neste Aviso de Contratação Direta e seus Anexos quanto às especificações do objeto</w:t>
      </w:r>
    </w:p>
    <w:p>
      <w:pPr>
        <w:pStyle w:val="PADRO"/>
        <w:keepNext w:val="false"/>
        <w:widowControl/>
        <w:shd w:val="clear" w:color="auto" w:fill="auto"/>
        <w:spacing w:before="0" w:after="0"/>
        <w:ind w:hanging="0"/>
        <w:contextualSpacing/>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before="120" w:after="120"/>
        <w:ind w:hanging="0" w:left="0"/>
        <w:jc w:val="both"/>
        <w:rPr>
          <w:rFonts w:ascii="Verdana" w:hAnsi="Verdana" w:cs="Arial"/>
          <w:szCs w:val="20"/>
        </w:rPr>
      </w:pPr>
      <w:r>
        <w:rPr>
          <w:rFonts w:eastAsia="Calibri" w:cs="ArialMT" w:ascii="Verdana" w:hAnsi="Verdana" w:eastAsiaTheme="minorHAnsi"/>
          <w:szCs w:val="20"/>
          <w:lang w:eastAsia="en-US"/>
        </w:rPr>
        <w:t>Os fornecedores deverão se cadastrar previamente no Portal de Compras Públicas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hanging="0" w:lef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firstLine="21" w:lef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before="120" w:after="120"/>
        <w:ind w:firstLine="630" w:lef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empresas controladoras, controladas ou coligadas, nos termos da </w:t>
      </w:r>
      <w:hyperlink r:id="rId3">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120" w:after="120"/>
        <w:ind w:left="658"/>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before="120" w:after="120"/>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120" w:after="120"/>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before="120" w:after="120"/>
        <w:ind w:left="56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unitário.</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Verdana" w:hAnsi="Verdana" w:cs="Arial"/>
          <w:i/>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apresentar desconformidade com quaisquer outras exigências deste aviso ou seus anexos, desde que insanável.</w:t>
      </w:r>
    </w:p>
    <w:p>
      <w:pPr>
        <w:pStyle w:val="ListParagraph"/>
        <w:spacing w:lineRule="auto" w:line="276" w:before="120" w:after="120"/>
        <w:ind w:left="1224"/>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i/>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Verdana" w:hAnsi="Verdana" w:cs="Arial"/>
          <w:i/>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Verdana" w:hAnsi="Verdana" w:cs="Arial"/>
          <w:i/>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224"/>
        <w:contextualSpacing/>
        <w:jc w:val="both"/>
        <w:rPr>
          <w:rFonts w:ascii="Verdana" w:hAnsi="Verdana" w:cs="Arial"/>
          <w:i/>
          <w:i/>
          <w:szCs w:val="20"/>
        </w:rPr>
      </w:pPr>
      <w:r>
        <w:rPr>
          <w:rFonts w:cs="Arial" w:ascii="Verdana" w:hAnsi="Verdana"/>
          <w:i/>
          <w:szCs w:val="20"/>
        </w:rPr>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left="0"/>
        <w:contextualSpacing/>
        <w:jc w:val="both"/>
        <w:rPr>
          <w:rFonts w:ascii="Verdana" w:hAnsi="Verdana" w:cs="Arial"/>
          <w:szCs w:val="20"/>
          <w:lang w:eastAsia="en-US"/>
        </w:rPr>
      </w:pPr>
      <w:r>
        <w:rPr>
          <w:rFonts w:cs="Arial" w:ascii="Verdana" w:hAnsi="Verdana"/>
          <w:szCs w:val="20"/>
          <w:lang w:eastAsia="en-US"/>
        </w:rPr>
      </w:r>
    </w:p>
    <w:p>
      <w:pPr>
        <w:pStyle w:val="PADRO"/>
        <w:keepNext w:val="false"/>
        <w:widowControl/>
        <w:numPr>
          <w:ilvl w:val="0"/>
          <w:numId w:val="1"/>
        </w:numPr>
        <w:shd w:val="clear" w:color="auto" w:fill="auto"/>
        <w:spacing w:before="120" w:after="12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before="120" w:after="120"/>
        <w:ind w:hanging="574" w:left="567"/>
        <w:contextualSpacing/>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before="120" w:after="120"/>
        <w:ind w:hanging="574" w:left="567"/>
        <w:contextualSpacing/>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hanging="574" w:left="567"/>
        <w:contextualSpacing/>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hanging="574" w:left="567"/>
        <w:contextualSpacing/>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hanging="574" w:left="567"/>
        <w:contextualSpacing/>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PADRO"/>
        <w:keepNext w:val="false"/>
        <w:widowControl/>
        <w:numPr>
          <w:ilvl w:val="0"/>
          <w:numId w:val="1"/>
        </w:numPr>
        <w:shd w:val="clear" w:color="auto" w:fill="auto"/>
        <w:spacing w:before="120" w:after="0"/>
        <w:rPr>
          <w:rFonts w:ascii="Verdana" w:hAnsi="Verdana" w:cs="Arial"/>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before="120" w:after="120"/>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Verdana" w:hAnsi="Verdana" w:eastAsia="Arial" w:cs="Arial"/>
          <w:i/>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12 (doze) meses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false"/>
        <w:widowControl/>
        <w:numPr>
          <w:ilvl w:val="0"/>
          <w:numId w:val="1"/>
        </w:numPr>
        <w:shd w:val="clear" w:color="auto" w:fill="auto"/>
        <w:spacing w:before="12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before="120" w:after="120"/>
        <w:ind w:hanging="0" w:lef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comportar-se de modo inidôneo ou cometer fraude de qualquer natureza;</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ind w:hanging="425" w:left="1134"/>
        <w:jc w:val="both"/>
        <w:rPr>
          <w:rFonts w:ascii="Verdana" w:hAnsi="Verdana" w:cs="Arial"/>
          <w:szCs w:val="20"/>
        </w:rPr>
      </w:pPr>
      <w:r>
        <w:rPr>
          <w:rFonts w:cs="Arial" w:ascii="Verdana" w:hAnsi="Verdana"/>
          <w:szCs w:val="20"/>
        </w:rPr>
        <w:t> </w:t>
      </w:r>
      <w:r>
        <w:rPr>
          <w:rFonts w:cs="Arial" w:ascii="Verdana" w:hAnsi="Verdana"/>
          <w:szCs w:val="20"/>
        </w:rPr>
        <w:t>praticar atos ilícitos com vistas a frustrar os objetivos deste certame.</w:t>
      </w:r>
    </w:p>
    <w:p>
      <w:pPr>
        <w:pStyle w:val="Normal"/>
        <w:numPr>
          <w:ilvl w:val="2"/>
          <w:numId w:val="1"/>
        </w:numPr>
        <w:spacing w:lineRule="auto" w:line="276" w:before="120" w:after="120"/>
        <w:ind w:hanging="406" w:left="1134"/>
        <w:jc w:val="both"/>
        <w:rPr>
          <w:rFonts w:ascii="Verdana" w:hAnsi="Verdana"/>
          <w:szCs w:val="20"/>
        </w:rPr>
      </w:pPr>
      <w:r>
        <w:rPr>
          <w:rFonts w:cs="Arial" w:ascii="Verdana" w:hAnsi="Verdana"/>
          <w:szCs w:val="20"/>
        </w:rPr>
        <w:t>praticar ato lesivo previsto no </w:t>
      </w:r>
      <w:r>
        <w:fldChar w:fldCharType="begin"/>
      </w:r>
      <w:r>
        <w:rPr>
          <w:rStyle w:val="ListLabel49"/>
          <w:szCs w:val="20"/>
          <w:rFonts w:ascii="Verdana" w:hAnsi="Verdana"/>
        </w:rPr>
        <w:instrText xml:space="preserve"> HYPERLINK "http://www.planalto.gov.br/ccivil_03/_Ato2011-2014/2013/Lei/L12846.htm" \l "art5"</w:instrText>
      </w:r>
      <w:r>
        <w:rPr>
          <w:rStyle w:val="ListLabel49"/>
          <w:szCs w:val="20"/>
          <w:rFonts w:ascii="Verdana" w:hAnsi="Verdana"/>
        </w:rPr>
        <w:fldChar w:fldCharType="separate"/>
      </w:r>
      <w:r>
        <w:rPr>
          <w:rStyle w:val="ListLabel49"/>
          <w:rFonts w:ascii="Verdana" w:hAnsi="Verdana"/>
          <w:szCs w:val="20"/>
        </w:rPr>
        <w:t>art. 5º da Lei nº 12.846, de 1º de agosto de 2013.</w:t>
      </w:r>
      <w:r>
        <w:rPr>
          <w:rStyle w:val="ListLabel49"/>
          <w:szCs w:val="20"/>
          <w:rFonts w:ascii="Verdana" w:hAnsi="Verdana"/>
        </w:rPr>
        <w:fldChar w:fldCharType="end"/>
      </w:r>
    </w:p>
    <w:p>
      <w:pPr>
        <w:pStyle w:val="Normal"/>
        <w:numPr>
          <w:ilvl w:val="1"/>
          <w:numId w:val="1"/>
        </w:numPr>
        <w:tabs>
          <w:tab w:val="clear" w:pos="708"/>
          <w:tab w:val="left" w:pos="574" w:leader="none"/>
        </w:tabs>
        <w:spacing w:lineRule="auto" w:line="276" w:before="120" w:after="120"/>
        <w:ind w:hanging="0" w:lef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ind w:hanging="0" w:lef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120" w:after="120"/>
        <w:ind w:hanging="0" w:lef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Normal"/>
        <w:tabs>
          <w:tab w:val="clear" w:pos="708"/>
          <w:tab w:val="left" w:pos="1560" w:leader="none"/>
        </w:tabs>
        <w:spacing w:lineRule="auto" w:line="276"/>
        <w:ind w:left="720"/>
        <w:jc w:val="both"/>
        <w:rPr>
          <w:rFonts w:ascii="Verdana" w:hAnsi="Verdana" w:cs="Arial"/>
          <w:szCs w:val="20"/>
        </w:rPr>
      </w:pPr>
      <w:r>
        <w:rPr>
          <w:rFonts w:cs="Arial" w:ascii="Verdana" w:hAnsi="Verdana"/>
          <w:b/>
          <w:bCs/>
          <w:szCs w:val="20"/>
        </w:rPr>
        <w:t xml:space="preserve">9.15.2.1 ANEXO II-1 </w:t>
      </w:r>
      <w:r>
        <w:rPr>
          <w:rFonts w:cs="Arial" w:ascii="Verdana" w:hAnsi="Verdana"/>
          <w:szCs w:val="20"/>
        </w:rPr>
        <w:t>– Estudo Técnico Preliminar.</w:t>
      </w:r>
    </w:p>
    <w:p>
      <w:pPr>
        <w:pStyle w:val="Normal"/>
        <w:tabs>
          <w:tab w:val="clear" w:pos="708"/>
          <w:tab w:val="left" w:pos="1560" w:leader="none"/>
        </w:tabs>
        <w:spacing w:lineRule="auto" w:line="276"/>
        <w:ind w:left="720"/>
        <w:jc w:val="both"/>
        <w:rPr>
          <w:rFonts w:ascii="Verdana" w:hAnsi="Verdana" w:cs="Arial"/>
          <w:szCs w:val="20"/>
        </w:rPr>
      </w:pPr>
      <w:r>
        <w:rPr>
          <w:rFonts w:cs="Arial" w:ascii="Verdana" w:hAnsi="Verdana"/>
          <w:b/>
          <w:bCs/>
          <w:szCs w:val="20"/>
        </w:rPr>
        <w:t xml:space="preserve">9.15.2.2 ANEXO II-2 </w:t>
      </w:r>
      <w:r>
        <w:rPr>
          <w:rFonts w:cs="Arial" w:ascii="Verdana" w:hAnsi="Verdana"/>
          <w:szCs w:val="20"/>
        </w:rPr>
        <w:t>– Modelo de Proposta.</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 xml:space="preserve">ANEXO III – </w:t>
      </w:r>
      <w:r>
        <w:rPr>
          <w:rFonts w:cs="Arial" w:ascii="Verdana" w:hAnsi="Verdana"/>
          <w:szCs w:val="20"/>
        </w:rPr>
        <w:t>Minuta de Contrato</w:t>
      </w:r>
    </w:p>
    <w:p>
      <w:pPr>
        <w:pStyle w:val="Normal"/>
        <w:tabs>
          <w:tab w:val="clear" w:pos="708"/>
          <w:tab w:val="left" w:pos="1560" w:leader="none"/>
        </w:tabs>
        <w:spacing w:lineRule="auto" w:line="276"/>
        <w:jc w:val="both"/>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t>São Gabriel da Palha - ES, 20 de março de 2025.</w:t>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b/>
          <w:bCs/>
          <w:iCs/>
          <w:szCs w:val="20"/>
        </w:rPr>
      </w:pPr>
      <w:r>
        <w:rPr>
          <w:rFonts w:cs="Arial" w:ascii="Verdana" w:hAnsi="Verdana"/>
          <w:b/>
          <w:bCs/>
          <w:iCs/>
          <w:szCs w:val="20"/>
        </w:rPr>
        <w:t>ERLITON DE MELLO BRAZ</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1134"/>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Verdan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23,1914" path="m0,8xm6,1l0,8l7,0xm0,8xm1921,1913l0,8l1922,1912xe" stroked="f" o:allowincell="f" style="position:absolute;margin-left:0.05pt;margin-top:0pt;width:54.45pt;height:54.15pt;mso-position-horizontal:center;mso-position-horizontal-relative:margin;mso-position-vertical:center;mso-position-vertical-relative:margin">
          <v:stroke color="#3465a4" joinstyle="round" endcap="flat"/>
          <v:fill o:detectmouseclick="t" on="false"/>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0" distT="0" distB="0" distL="114935" distR="114935" simplePos="0" locked="0" layoutInCell="0" allowOverlap="1" relativeHeight="12">
          <wp:simplePos x="0" y="0"/>
          <wp:positionH relativeFrom="column">
            <wp:posOffset>175260</wp:posOffset>
          </wp:positionH>
          <wp:positionV relativeFrom="paragraph">
            <wp:posOffset>-86360</wp:posOffset>
          </wp:positionV>
          <wp:extent cx="647700" cy="54292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35pt;margin-top:347.4pt;width:9.35pt;height:1.15pt;mso-wrap-style:none;v-text-anchor:middle;rotation:315;mso-position-horizontal:center;mso-position-horizontal-relative:margin;mso-position-vertical:center;mso-position-vertical-relative:margin" wp14:anchorId="64A1216A"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cs="Calibri"/>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cs="Calibri"/>
        <w:b/>
        <w:bCs/>
        <w:szCs w:val="20"/>
      </w:rPr>
    </w:pPr>
    <w:r>
      <w:rPr>
        <w:rFonts w:cs="Calibri" w:ascii="Verdana" w:hAnsi="Verdana"/>
        <w:b/>
        <w:bCs/>
        <w:szCs w:val="20"/>
      </w:rPr>
    </w:r>
  </w:p>
  <w:p>
    <w:pPr>
      <w:pStyle w:val="Normal"/>
      <w:jc w:val="center"/>
      <w:rPr>
        <w:rFonts w:ascii="Verdana" w:hAnsi="Verdana"/>
        <w:b/>
        <w:bCs/>
        <w:szCs w:val="20"/>
      </w:rPr>
    </w:pPr>
    <w:r>
      <w:rPr>
        <w:rFonts w:ascii="Verdana" w:hAnsi="Verdana"/>
        <w:b/>
        <w:bCs/>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behindDoc="0" distT="0" distB="0" distL="114935" distR="114935" simplePos="0" locked="0" layoutInCell="0" allowOverlap="1" relativeHeight="12">
          <wp:simplePos x="0" y="0"/>
          <wp:positionH relativeFrom="column">
            <wp:posOffset>175260</wp:posOffset>
          </wp:positionH>
          <wp:positionV relativeFrom="paragraph">
            <wp:posOffset>-86360</wp:posOffset>
          </wp:positionV>
          <wp:extent cx="647700" cy="542925"/>
          <wp:effectExtent l="0" t="0" r="0" b="0"/>
          <wp:wrapSquare wrapText="bothSides"/>
          <wp:docPr id="4"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descr=""/>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pict>
        <v:shape id="PowerPlusWaterMarkObject259915283" o:spid="shape_0" adj="10800" fillcolor="white" stroked="f" o:allowincell="f" style="position:absolute;margin-left:243.35pt;margin-top:347.4pt;width:9.35pt;height:1.15pt;mso-wrap-style:none;v-text-anchor:middle;rotation:315;mso-position-horizontal:center;mso-position-horizontal-relative:margin;mso-position-vertical:center;mso-position-vertical-relative:margin" wp14:anchorId="64A1216A"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cs="Calibri"/>
        <w:b/>
        <w:bCs/>
        <w:szCs w:val="20"/>
      </w:rPr>
    </w:pPr>
    <w:r>
      <w:rPr>
        <w:rFonts w:cs="Calibri" w:ascii="Verdana" w:hAnsi="Verdana"/>
        <w:b/>
        <w:bCs/>
        <w:szCs w:val="20"/>
      </w:rPr>
      <w:t xml:space="preserve"> </w:t>
    </w:r>
    <w:r>
      <w:rPr>
        <w:rFonts w:cs="Calibri" w:ascii="Verdana" w:hAnsi="Verdana"/>
        <w:b/>
        <w:bCs/>
        <w:szCs w:val="20"/>
      </w:rPr>
      <w:t>Secretaria Municipal de Administração</w:t>
    </w:r>
  </w:p>
  <w:p>
    <w:pPr>
      <w:pStyle w:val="Normal"/>
      <w:jc w:val="center"/>
      <w:rPr>
        <w:rFonts w:ascii="Verdana" w:hAnsi="Verdana" w:cs="Calibri"/>
        <w:b/>
        <w:bCs/>
        <w:szCs w:val="20"/>
      </w:rPr>
    </w:pPr>
    <w:r>
      <w:rPr>
        <w:rFonts w:cs="Calibri" w:ascii="Verdana" w:hAnsi="Verdana"/>
        <w:b/>
        <w:bCs/>
        <w:szCs w:val="20"/>
      </w:rPr>
    </w:r>
  </w:p>
  <w:p>
    <w:pPr>
      <w:pStyle w:val="Normal"/>
      <w:jc w:val="center"/>
      <w:rPr>
        <w:rFonts w:ascii="Verdana" w:hAnsi="Verdana"/>
        <w:b/>
        <w:bCs/>
        <w:szCs w:val="20"/>
      </w:rPr>
    </w:pPr>
    <w:r>
      <w:rPr>
        <w:rFonts w:ascii="Verdana" w:hAnsi="Verdana"/>
        <w:b/>
        <w:bCs/>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Verdana" w:hAnsi="Verdana"/>
      </w:rPr>
    </w:lvl>
    <w:lvl w:ilvl="1">
      <w:start w:val="1"/>
      <w:numFmt w:val="decimal"/>
      <w:lvlText w:val="%1.%2."/>
      <w:lvlJc w:val="left"/>
      <w:pPr>
        <w:tabs>
          <w:tab w:val="num" w:pos="0"/>
        </w:tabs>
        <w:ind w:left="567" w:hanging="207"/>
      </w:pPr>
      <w:rPr>
        <w:sz w:val="20"/>
        <w:i w:val="false"/>
        <w:b/>
        <w:szCs w:val="20"/>
        <w:iCs/>
        <w:rFonts w:ascii="Verdana" w:hAnsi="Verdana"/>
        <w:color w:val="auto"/>
      </w:rPr>
    </w:lvl>
    <w:lvl w:ilvl="2">
      <w:start w:val="1"/>
      <w:numFmt w:val="decimal"/>
      <w:lvlText w:val="%1.%2.%3."/>
      <w:lvlJc w:val="left"/>
      <w:pPr>
        <w:tabs>
          <w:tab w:val="num" w:pos="0"/>
        </w:tabs>
        <w:ind w:left="1224" w:hanging="504"/>
      </w:pPr>
      <w:rPr>
        <w:i w:val="false"/>
        <w:b/>
        <w:iCs/>
        <w:rFonts w:ascii="Verdana" w:hAnsi="Verdana" w:cs="Arial"/>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iCs/>
        <w:b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eastAsia="pt-BR" w:val="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color w:themeColor="accent1" w:themeShade="bf"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ListParagraph">
    <w:name w:val="List Paragraph"/>
    <w:basedOn w:val="Normal"/>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color w:themeColor="accent1" w:themeShade="bf"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color w:themeColor="accent1" w:themeShade="bf" w:val="000000"/>
      <w:sz w:val="24"/>
      <w:szCs w:val="24"/>
    </w:rPr>
  </w:style>
  <w:style w:type="paragraph" w:styleId="Contedodoquadro">
    <w:name w:val="Conteúdo do quadro"/>
    <w:basedOn w:val="Normal"/>
    <w:qFormat/>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Application>LibreOffice/24.2.6.2$Windows_X86_64 LibreOffice_project/ef66aa7e36a1bb8e65bfbc63aba53045a14d0871</Application>
  <AppVersion>15.0000</AppVersion>
  <Pages>11</Pages>
  <Words>4721</Words>
  <Characters>27108</Characters>
  <CharactersWithSpaces>31508</CharactersWithSpaces>
  <Paragraphs>199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2025-03-20T19:06:00Z</cp:lastPrinted>
  <dcterms:modified xsi:type="dcterms:W3CDTF">2025-05-26T16:42:50Z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